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79D4" w:rsidRDefault="00FF645A">
      <w:r>
        <w:t>Junior English</w:t>
      </w:r>
    </w:p>
    <w:p w:rsidR="00FF645A" w:rsidRDefault="00FF645A">
      <w:r>
        <w:rPr>
          <w:i/>
          <w:iCs/>
        </w:rPr>
        <w:t xml:space="preserve">TTTC </w:t>
      </w:r>
      <w:r>
        <w:t>Calendar (Revised)</w:t>
      </w:r>
    </w:p>
    <w:p w:rsidR="00FF645A" w:rsidRDefault="00FF64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E1DC2" w:rsidRPr="003A343D" w:rsidTr="00FB1267">
        <w:tc>
          <w:tcPr>
            <w:tcW w:w="1870" w:type="dxa"/>
          </w:tcPr>
          <w:p w:rsidR="009E1DC2" w:rsidRDefault="009E1DC2" w:rsidP="00FB1267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t>24 (LS100)</w:t>
            </w:r>
          </w:p>
          <w:p w:rsidR="009E1DC2" w:rsidRDefault="009E1DC2" w:rsidP="00FB1267">
            <w:pPr>
              <w:rPr>
                <w:color w:val="0070C0"/>
                <w:sz w:val="20"/>
                <w:szCs w:val="20"/>
              </w:rPr>
            </w:pPr>
          </w:p>
          <w:p w:rsidR="009E1DC2" w:rsidRPr="009E1DC2" w:rsidRDefault="009E1DC2" w:rsidP="009E1DC2">
            <w:pPr>
              <w:rPr>
                <w:color w:val="0070C0"/>
                <w:sz w:val="20"/>
                <w:szCs w:val="20"/>
              </w:rPr>
            </w:pPr>
            <w:r w:rsidRPr="009E1DC2">
              <w:rPr>
                <w:color w:val="FF0000"/>
                <w:sz w:val="20"/>
                <w:szCs w:val="20"/>
              </w:rPr>
              <w:t>“Good Form &amp; “Field Trip” due</w:t>
            </w:r>
          </w:p>
        </w:tc>
        <w:tc>
          <w:tcPr>
            <w:tcW w:w="1870" w:type="dxa"/>
          </w:tcPr>
          <w:p w:rsidR="009E1DC2" w:rsidRPr="003A343D" w:rsidRDefault="009E1DC2" w:rsidP="00FB1267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t>25 (78)</w:t>
            </w:r>
          </w:p>
          <w:p w:rsidR="009E1DC2" w:rsidRPr="003A343D" w:rsidRDefault="009E1DC2" w:rsidP="00FB1267">
            <w:pPr>
              <w:rPr>
                <w:color w:val="0070C0"/>
                <w:sz w:val="20"/>
                <w:szCs w:val="20"/>
              </w:rPr>
            </w:pPr>
          </w:p>
          <w:p w:rsidR="009E1DC2" w:rsidRDefault="009E1DC2" w:rsidP="00FB1267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Reading period</w:t>
            </w:r>
          </w:p>
          <w:p w:rsidR="009E1DC2" w:rsidRPr="003A343D" w:rsidRDefault="009E1DC2" w:rsidP="00FB1267">
            <w:pPr>
              <w:rPr>
                <w:color w:val="0070C0"/>
                <w:sz w:val="20"/>
                <w:szCs w:val="20"/>
              </w:rPr>
            </w:pPr>
          </w:p>
          <w:p w:rsidR="009E1DC2" w:rsidRPr="003A343D" w:rsidRDefault="009E1DC2" w:rsidP="00FB1267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t>HW:</w:t>
            </w:r>
            <w:r>
              <w:rPr>
                <w:color w:val="0070C0"/>
                <w:sz w:val="20"/>
                <w:szCs w:val="20"/>
              </w:rPr>
              <w:t xml:space="preserve"> Finish reading &amp; annotating </w:t>
            </w:r>
            <w:r w:rsidRPr="003A343D">
              <w:rPr>
                <w:color w:val="0070C0"/>
                <w:sz w:val="20"/>
                <w:szCs w:val="20"/>
              </w:rPr>
              <w:t>“The Ghost Soldiers</w:t>
            </w:r>
            <w:r>
              <w:rPr>
                <w:color w:val="0070C0"/>
                <w:sz w:val="20"/>
                <w:szCs w:val="20"/>
              </w:rPr>
              <w:t xml:space="preserve">,” </w:t>
            </w:r>
            <w:r w:rsidRPr="003A343D">
              <w:rPr>
                <w:color w:val="0070C0"/>
                <w:sz w:val="20"/>
                <w:szCs w:val="20"/>
              </w:rPr>
              <w:t>“Nightlife” &amp; “The Lives of the Dead”</w:t>
            </w:r>
          </w:p>
        </w:tc>
        <w:tc>
          <w:tcPr>
            <w:tcW w:w="1870" w:type="dxa"/>
          </w:tcPr>
          <w:p w:rsidR="009E1DC2" w:rsidRPr="003A343D" w:rsidRDefault="009E1DC2" w:rsidP="00FB1267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t>26 (56)</w:t>
            </w:r>
          </w:p>
          <w:p w:rsidR="009E1DC2" w:rsidRDefault="009E1DC2" w:rsidP="00FB1267">
            <w:pPr>
              <w:rPr>
                <w:color w:val="0070C0"/>
                <w:sz w:val="20"/>
                <w:szCs w:val="20"/>
              </w:rPr>
            </w:pPr>
          </w:p>
          <w:p w:rsidR="009E1DC2" w:rsidRDefault="009E1DC2" w:rsidP="009E1DC2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t>“The Ghost Soldiers” due</w:t>
            </w:r>
          </w:p>
          <w:p w:rsidR="009E1DC2" w:rsidRPr="003A343D" w:rsidRDefault="009E1DC2" w:rsidP="009E1DC2">
            <w:pPr>
              <w:rPr>
                <w:color w:val="0070C0"/>
                <w:sz w:val="20"/>
                <w:szCs w:val="20"/>
              </w:rPr>
            </w:pPr>
          </w:p>
          <w:p w:rsidR="009E1DC2" w:rsidRDefault="009E1DC2" w:rsidP="009E1DC2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t>“Nightlife” &amp; “The Lives of the Dead”</w:t>
            </w:r>
            <w:r>
              <w:rPr>
                <w:color w:val="0070C0"/>
                <w:sz w:val="20"/>
                <w:szCs w:val="20"/>
              </w:rPr>
              <w:t xml:space="preserve"> due</w:t>
            </w:r>
          </w:p>
          <w:p w:rsidR="009E1DC2" w:rsidRPr="003A343D" w:rsidRDefault="009E1DC2" w:rsidP="009E1DC2">
            <w:pPr>
              <w:rPr>
                <w:color w:val="0070C0"/>
                <w:sz w:val="20"/>
                <w:szCs w:val="20"/>
              </w:rPr>
            </w:pPr>
          </w:p>
          <w:p w:rsidR="009E1DC2" w:rsidRPr="003A343D" w:rsidRDefault="009E1DC2" w:rsidP="009E1DC2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t>HW: Final thoughts</w:t>
            </w:r>
          </w:p>
        </w:tc>
        <w:tc>
          <w:tcPr>
            <w:tcW w:w="1870" w:type="dxa"/>
          </w:tcPr>
          <w:p w:rsidR="009E1DC2" w:rsidRDefault="009E1DC2" w:rsidP="00FB1267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t>27 (34)</w:t>
            </w:r>
          </w:p>
          <w:p w:rsidR="009E1DC2" w:rsidRDefault="009E1DC2" w:rsidP="00FB1267">
            <w:pPr>
              <w:rPr>
                <w:color w:val="0070C0"/>
                <w:sz w:val="20"/>
                <w:szCs w:val="20"/>
              </w:rPr>
            </w:pPr>
          </w:p>
          <w:p w:rsidR="009E1DC2" w:rsidRPr="003A343D" w:rsidRDefault="009E1DC2" w:rsidP="00FB1267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No class</w:t>
            </w:r>
          </w:p>
        </w:tc>
        <w:tc>
          <w:tcPr>
            <w:tcW w:w="1870" w:type="dxa"/>
          </w:tcPr>
          <w:p w:rsidR="009E1DC2" w:rsidRPr="003A343D" w:rsidRDefault="009E1DC2" w:rsidP="00FB1267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t>28 (12)</w:t>
            </w:r>
            <w:r w:rsidRPr="003A343D">
              <w:rPr>
                <w:color w:val="0070C0"/>
                <w:sz w:val="20"/>
                <w:szCs w:val="20"/>
              </w:rPr>
              <w:br/>
            </w:r>
          </w:p>
          <w:p w:rsidR="009E1DC2" w:rsidRPr="003A343D" w:rsidRDefault="009E1DC2" w:rsidP="00FB1267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t>“The Things They Carried to the Wall” writing</w:t>
            </w:r>
          </w:p>
          <w:p w:rsidR="009E1DC2" w:rsidRPr="003A343D" w:rsidRDefault="009E1DC2" w:rsidP="00FB1267">
            <w:pPr>
              <w:rPr>
                <w:color w:val="0070C0"/>
                <w:sz w:val="20"/>
                <w:szCs w:val="20"/>
              </w:rPr>
            </w:pPr>
          </w:p>
          <w:p w:rsidR="009E1DC2" w:rsidRPr="003A343D" w:rsidRDefault="009E1DC2" w:rsidP="00FB1267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t xml:space="preserve">HW: </w:t>
            </w:r>
          </w:p>
        </w:tc>
      </w:tr>
    </w:tbl>
    <w:p w:rsidR="009E1DC2" w:rsidRDefault="009E1DC2"/>
    <w:p w:rsidR="009E1DC2" w:rsidRDefault="009E1DC2"/>
    <w:p w:rsidR="00FF645A" w:rsidRDefault="00FF645A"/>
    <w:p w:rsidR="00FF645A" w:rsidRDefault="00FF645A">
      <w:r>
        <w:t>Period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F645A" w:rsidRPr="003A343D" w:rsidTr="00163E56">
        <w:tc>
          <w:tcPr>
            <w:tcW w:w="1870" w:type="dxa"/>
          </w:tcPr>
          <w:p w:rsidR="00FF645A" w:rsidRDefault="00FF645A" w:rsidP="00163E56">
            <w:pPr>
              <w:rPr>
                <w:color w:val="0070C0"/>
                <w:sz w:val="20"/>
                <w:szCs w:val="20"/>
              </w:rPr>
            </w:pPr>
            <w:bookmarkStart w:id="0" w:name="_GoBack"/>
            <w:bookmarkEnd w:id="0"/>
            <w:r w:rsidRPr="003A343D">
              <w:rPr>
                <w:color w:val="0070C0"/>
                <w:sz w:val="20"/>
                <w:szCs w:val="20"/>
              </w:rPr>
              <w:t>24 (LS100)</w:t>
            </w:r>
          </w:p>
          <w:p w:rsidR="00FF645A" w:rsidRDefault="00FF645A" w:rsidP="00163E56">
            <w:pPr>
              <w:rPr>
                <w:color w:val="0070C0"/>
                <w:sz w:val="20"/>
                <w:szCs w:val="20"/>
              </w:rPr>
            </w:pPr>
          </w:p>
          <w:p w:rsidR="00FF645A" w:rsidRPr="00FF645A" w:rsidRDefault="00FF645A" w:rsidP="00FF645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F645A">
              <w:rPr>
                <w:b/>
                <w:bCs/>
                <w:color w:val="FF0000"/>
                <w:sz w:val="20"/>
                <w:szCs w:val="20"/>
              </w:rPr>
              <w:t>“In the Field” due</w:t>
            </w:r>
          </w:p>
          <w:p w:rsidR="00FF645A" w:rsidRPr="003A343D" w:rsidRDefault="00FF645A" w:rsidP="00163E56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870" w:type="dxa"/>
          </w:tcPr>
          <w:p w:rsidR="00FF645A" w:rsidRPr="003A343D" w:rsidRDefault="00FF645A" w:rsidP="00163E56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t>25 (78)</w:t>
            </w:r>
          </w:p>
          <w:p w:rsidR="00FF645A" w:rsidRPr="003A343D" w:rsidRDefault="00FF645A" w:rsidP="00163E56">
            <w:pPr>
              <w:rPr>
                <w:color w:val="0070C0"/>
                <w:sz w:val="20"/>
                <w:szCs w:val="20"/>
              </w:rPr>
            </w:pPr>
          </w:p>
          <w:p w:rsidR="00FF645A" w:rsidRDefault="009E1DC2" w:rsidP="00163E56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Reading period</w:t>
            </w:r>
          </w:p>
          <w:p w:rsidR="009E1DC2" w:rsidRPr="003A343D" w:rsidRDefault="009E1DC2" w:rsidP="00163E56">
            <w:pPr>
              <w:rPr>
                <w:color w:val="0070C0"/>
                <w:sz w:val="20"/>
                <w:szCs w:val="20"/>
              </w:rPr>
            </w:pPr>
          </w:p>
          <w:p w:rsidR="00FF645A" w:rsidRPr="003A343D" w:rsidRDefault="00FF645A" w:rsidP="00163E56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t>HW:</w:t>
            </w:r>
            <w:r w:rsidR="009E1DC2">
              <w:rPr>
                <w:color w:val="0070C0"/>
                <w:sz w:val="20"/>
                <w:szCs w:val="20"/>
              </w:rPr>
              <w:t xml:space="preserve"> Finish reading &amp; annotating </w:t>
            </w:r>
            <w:r w:rsidR="009E1DC2" w:rsidRPr="003A343D">
              <w:rPr>
                <w:color w:val="0070C0"/>
                <w:sz w:val="20"/>
                <w:szCs w:val="20"/>
              </w:rPr>
              <w:t>“The Ghost Soldiers</w:t>
            </w:r>
            <w:r w:rsidR="009E1DC2">
              <w:rPr>
                <w:color w:val="0070C0"/>
                <w:sz w:val="20"/>
                <w:szCs w:val="20"/>
              </w:rPr>
              <w:t xml:space="preserve">,” </w:t>
            </w:r>
            <w:r w:rsidRPr="003A343D">
              <w:rPr>
                <w:color w:val="0070C0"/>
                <w:sz w:val="20"/>
                <w:szCs w:val="20"/>
              </w:rPr>
              <w:t>“Nightlife” &amp; “The Lives of the Dead”</w:t>
            </w:r>
          </w:p>
        </w:tc>
        <w:tc>
          <w:tcPr>
            <w:tcW w:w="1870" w:type="dxa"/>
          </w:tcPr>
          <w:p w:rsidR="00FF645A" w:rsidRPr="003A343D" w:rsidRDefault="00FF645A" w:rsidP="00163E56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t>26 (56)</w:t>
            </w:r>
          </w:p>
          <w:p w:rsidR="00FF645A" w:rsidRDefault="00FF645A" w:rsidP="00163E56">
            <w:pPr>
              <w:rPr>
                <w:color w:val="0070C0"/>
                <w:sz w:val="20"/>
                <w:szCs w:val="20"/>
              </w:rPr>
            </w:pPr>
          </w:p>
          <w:p w:rsidR="00FF645A" w:rsidRPr="003A343D" w:rsidRDefault="00FF645A" w:rsidP="00163E56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No class</w:t>
            </w:r>
          </w:p>
          <w:p w:rsidR="00FF645A" w:rsidRPr="003A343D" w:rsidRDefault="00FF645A" w:rsidP="00163E56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:rsidR="00FF645A" w:rsidRDefault="00FF645A" w:rsidP="00163E56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t>27 (34)</w:t>
            </w:r>
          </w:p>
          <w:p w:rsidR="00FF645A" w:rsidRDefault="00FF645A" w:rsidP="00163E56">
            <w:pPr>
              <w:rPr>
                <w:color w:val="0070C0"/>
                <w:sz w:val="20"/>
                <w:szCs w:val="20"/>
              </w:rPr>
            </w:pPr>
          </w:p>
          <w:p w:rsidR="009E1DC2" w:rsidRDefault="009E1DC2" w:rsidP="009E1DC2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t>“The Ghost Soldiers” due</w:t>
            </w:r>
          </w:p>
          <w:p w:rsidR="009E1DC2" w:rsidRPr="003A343D" w:rsidRDefault="009E1DC2" w:rsidP="00163E56">
            <w:pPr>
              <w:rPr>
                <w:color w:val="0070C0"/>
                <w:sz w:val="20"/>
                <w:szCs w:val="20"/>
              </w:rPr>
            </w:pPr>
          </w:p>
          <w:p w:rsidR="00FF645A" w:rsidRDefault="00FF645A" w:rsidP="00163E56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t>“Nightlife” &amp; “The Lives of the Dead”</w:t>
            </w:r>
            <w:r>
              <w:rPr>
                <w:color w:val="0070C0"/>
                <w:sz w:val="20"/>
                <w:szCs w:val="20"/>
              </w:rPr>
              <w:t xml:space="preserve"> due</w:t>
            </w:r>
          </w:p>
          <w:p w:rsidR="00FF645A" w:rsidRPr="003A343D" w:rsidRDefault="00FF645A" w:rsidP="00163E56">
            <w:pPr>
              <w:rPr>
                <w:color w:val="0070C0"/>
                <w:sz w:val="20"/>
                <w:szCs w:val="20"/>
              </w:rPr>
            </w:pPr>
          </w:p>
          <w:p w:rsidR="00FF645A" w:rsidRPr="003A343D" w:rsidRDefault="00FF645A" w:rsidP="00163E56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t>HW: Final thoughts</w:t>
            </w:r>
          </w:p>
        </w:tc>
        <w:tc>
          <w:tcPr>
            <w:tcW w:w="1870" w:type="dxa"/>
          </w:tcPr>
          <w:p w:rsidR="00FF645A" w:rsidRPr="003A343D" w:rsidRDefault="00FF645A" w:rsidP="00163E56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t>28 (12)</w:t>
            </w:r>
            <w:r w:rsidRPr="003A343D">
              <w:rPr>
                <w:color w:val="0070C0"/>
                <w:sz w:val="20"/>
                <w:szCs w:val="20"/>
              </w:rPr>
              <w:br/>
            </w:r>
          </w:p>
          <w:p w:rsidR="00FF645A" w:rsidRPr="003A343D" w:rsidRDefault="00FF645A" w:rsidP="00163E56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t>“The Things They Carried to the Wall” writing</w:t>
            </w:r>
          </w:p>
          <w:p w:rsidR="00FF645A" w:rsidRPr="003A343D" w:rsidRDefault="00FF645A" w:rsidP="00163E56">
            <w:pPr>
              <w:rPr>
                <w:color w:val="0070C0"/>
                <w:sz w:val="20"/>
                <w:szCs w:val="20"/>
              </w:rPr>
            </w:pPr>
          </w:p>
          <w:p w:rsidR="00FF645A" w:rsidRPr="003A343D" w:rsidRDefault="00FF645A" w:rsidP="00163E56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t xml:space="preserve">HW: </w:t>
            </w:r>
          </w:p>
        </w:tc>
      </w:tr>
    </w:tbl>
    <w:p w:rsidR="00FF645A" w:rsidRPr="00FF645A" w:rsidRDefault="00FF645A"/>
    <w:sectPr w:rsidR="00FF645A" w:rsidRPr="00FF645A" w:rsidSect="00FF5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5A"/>
    <w:rsid w:val="003C62BF"/>
    <w:rsid w:val="009E1DC2"/>
    <w:rsid w:val="00EE3854"/>
    <w:rsid w:val="00FF54F8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E2FC05"/>
  <w15:chartTrackingRefBased/>
  <w15:docId w15:val="{6971F143-D579-9C42-97D7-CD53CE5D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3</cp:revision>
  <dcterms:created xsi:type="dcterms:W3CDTF">2020-02-24T16:18:00Z</dcterms:created>
  <dcterms:modified xsi:type="dcterms:W3CDTF">2020-02-24T16:19:00Z</dcterms:modified>
</cp:coreProperties>
</file>